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F4FB" w14:textId="77777777" w:rsidR="00972BCD" w:rsidRPr="009A3985" w:rsidRDefault="00972BCD" w:rsidP="009A3985">
      <w:pPr>
        <w:pStyle w:val="Sous-titre"/>
      </w:pPr>
    </w:p>
    <w:p w14:paraId="269F3BB1" w14:textId="069BB289" w:rsidR="00972BCD" w:rsidRDefault="00972BCD" w:rsidP="00972BCD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C540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CONSEIL MUNICIPAL DU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VENDREDI  1</w:t>
      </w:r>
      <w:r w:rsidR="006C34A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0 JUIN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2022</w:t>
      </w:r>
    </w:p>
    <w:p w14:paraId="45C1CE77" w14:textId="77777777" w:rsidR="00972BCD" w:rsidRPr="006D4C62" w:rsidRDefault="00972BCD" w:rsidP="00972BCD">
      <w:pPr>
        <w:shd w:val="clear" w:color="auto" w:fill="FFFFFF"/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6D4C6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ORDRE DU JOUR</w:t>
      </w:r>
    </w:p>
    <w:p w14:paraId="371A8AEA" w14:textId="4D26FC48" w:rsidR="00972BCD" w:rsidRDefault="00972BCD" w:rsidP="00972BCD">
      <w:pPr>
        <w:pStyle w:val="Paragraphedeliste"/>
        <w:numPr>
          <w:ilvl w:val="0"/>
          <w:numId w:val="1"/>
        </w:numPr>
        <w:spacing w:before="120"/>
        <w:ind w:right="565"/>
        <w:jc w:val="both"/>
        <w:rPr>
          <w:rFonts w:cstheme="minorHAnsi"/>
        </w:rPr>
      </w:pPr>
      <w:r w:rsidRPr="00223000">
        <w:rPr>
          <w:rFonts w:cstheme="minorHAnsi"/>
        </w:rPr>
        <w:t>Désignation du Secrétaire de séance</w:t>
      </w:r>
    </w:p>
    <w:p w14:paraId="6BA931A4" w14:textId="62B42E32" w:rsidR="00E73F08" w:rsidRDefault="00E73F08" w:rsidP="00972BCD">
      <w:pPr>
        <w:pStyle w:val="Paragraphedeliste"/>
        <w:numPr>
          <w:ilvl w:val="0"/>
          <w:numId w:val="1"/>
        </w:numPr>
        <w:spacing w:before="120"/>
        <w:ind w:right="565"/>
        <w:jc w:val="both"/>
        <w:rPr>
          <w:rFonts w:cstheme="minorHAnsi"/>
        </w:rPr>
      </w:pPr>
      <w:r>
        <w:rPr>
          <w:rFonts w:cstheme="minorHAnsi"/>
        </w:rPr>
        <w:t>Installation d’un nouveau Conseiller Municipal</w:t>
      </w:r>
    </w:p>
    <w:p w14:paraId="69C7957A" w14:textId="717738F1" w:rsidR="00972BCD" w:rsidRPr="008D0947" w:rsidRDefault="00972BCD" w:rsidP="00972BCD">
      <w:pPr>
        <w:pStyle w:val="Paragraphedeliste"/>
        <w:numPr>
          <w:ilvl w:val="0"/>
          <w:numId w:val="1"/>
        </w:numPr>
        <w:spacing w:before="120"/>
        <w:ind w:right="565"/>
        <w:jc w:val="both"/>
        <w:rPr>
          <w:rFonts w:cstheme="minorHAnsi"/>
        </w:rPr>
      </w:pPr>
      <w:r w:rsidRPr="007762E8">
        <w:rPr>
          <w:rFonts w:cstheme="minorHAnsi"/>
        </w:rPr>
        <w:t>Approbation du procès-verbal du Conseil Municipal d</w:t>
      </w:r>
      <w:r>
        <w:rPr>
          <w:rFonts w:cstheme="minorHAnsi"/>
        </w:rPr>
        <w:t xml:space="preserve">u vendredi </w:t>
      </w:r>
      <w:r w:rsidR="006C34A5">
        <w:rPr>
          <w:rFonts w:cstheme="minorHAnsi"/>
        </w:rPr>
        <w:t>13 mai</w:t>
      </w:r>
      <w:r>
        <w:rPr>
          <w:rFonts w:cstheme="minorHAnsi"/>
        </w:rPr>
        <w:t xml:space="preserve"> 2022</w:t>
      </w:r>
    </w:p>
    <w:p w14:paraId="28BE54C5" w14:textId="77777777" w:rsidR="00972BCD" w:rsidRPr="006D4C62" w:rsidRDefault="00972BCD" w:rsidP="00972BCD">
      <w:pPr>
        <w:pStyle w:val="Paragraphedeliste"/>
        <w:numPr>
          <w:ilvl w:val="0"/>
          <w:numId w:val="1"/>
        </w:numPr>
        <w:spacing w:before="120"/>
        <w:ind w:right="565"/>
        <w:jc w:val="both"/>
        <w:rPr>
          <w:rFonts w:cstheme="minorHAnsi"/>
          <w:b/>
          <w:bCs/>
        </w:rPr>
      </w:pPr>
      <w:r w:rsidRPr="007762E8">
        <w:rPr>
          <w:rFonts w:cstheme="minorHAnsi"/>
        </w:rPr>
        <w:t>Compte rendu des Décisions et des MAPA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 xml:space="preserve">               </w:t>
      </w:r>
    </w:p>
    <w:p w14:paraId="57F455F5" w14:textId="77777777" w:rsidR="00972BCD" w:rsidRDefault="00972BCD" w:rsidP="00972BCD">
      <w:pPr>
        <w:spacing w:before="240"/>
        <w:ind w:left="425" w:right="565" w:hanging="425"/>
        <w:jc w:val="both"/>
        <w:rPr>
          <w:rFonts w:cstheme="minorHAnsi"/>
          <w:b/>
          <w:bCs/>
          <w:color w:val="2F5496" w:themeColor="accent1" w:themeShade="BF"/>
          <w:u w:val="single"/>
        </w:rPr>
      </w:pPr>
      <w:bookmarkStart w:id="0" w:name="_Hlk89360903"/>
      <w:bookmarkStart w:id="1" w:name="_Hlk87366302"/>
      <w:r w:rsidRPr="0042499B">
        <w:rPr>
          <w:rFonts w:cstheme="minorHAnsi"/>
          <w:b/>
          <w:bCs/>
          <w:color w:val="2F5496" w:themeColor="accent1" w:themeShade="BF"/>
          <w:u w:val="single"/>
        </w:rPr>
        <w:t>FINANCES</w:t>
      </w:r>
      <w:r>
        <w:rPr>
          <w:rFonts w:cstheme="minorHAnsi"/>
          <w:b/>
          <w:bCs/>
          <w:color w:val="2F5496" w:themeColor="accent1" w:themeShade="BF"/>
          <w:u w:val="single"/>
        </w:rPr>
        <w:t xml:space="preserve"> </w:t>
      </w:r>
    </w:p>
    <w:p w14:paraId="539288D8" w14:textId="131C0C69" w:rsidR="00972BCD" w:rsidRPr="00710F7A" w:rsidRDefault="00972BCD" w:rsidP="00972BCD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contextualSpacing w:val="0"/>
        <w:jc w:val="both"/>
        <w:rPr>
          <w:rFonts w:cstheme="minorHAnsi"/>
        </w:rPr>
      </w:pPr>
      <w:bookmarkStart w:id="2" w:name="_Hlk101692439"/>
      <w:r w:rsidRPr="00710F7A">
        <w:rPr>
          <w:rFonts w:cstheme="minorHAnsi"/>
        </w:rPr>
        <w:t>Budget principal : exercice 202</w:t>
      </w:r>
      <w:r w:rsidR="006C34A5" w:rsidRPr="00710F7A">
        <w:rPr>
          <w:rFonts w:cstheme="minorHAnsi"/>
        </w:rPr>
        <w:t>2</w:t>
      </w:r>
      <w:r w:rsidRPr="00710F7A">
        <w:rPr>
          <w:rFonts w:cstheme="minorHAnsi"/>
        </w:rPr>
        <w:t xml:space="preserve"> : </w:t>
      </w:r>
      <w:r w:rsidR="006C34A5" w:rsidRPr="00710F7A">
        <w:rPr>
          <w:rFonts w:cstheme="minorHAnsi"/>
        </w:rPr>
        <w:t>approbation du budget supplémentaire</w:t>
      </w:r>
      <w:r w:rsidRPr="00710F7A">
        <w:rPr>
          <w:rFonts w:cstheme="minorHAnsi"/>
        </w:rPr>
        <w:t xml:space="preserve"> </w:t>
      </w:r>
    </w:p>
    <w:bookmarkEnd w:id="2"/>
    <w:p w14:paraId="3798B570" w14:textId="04433876" w:rsidR="00972BCD" w:rsidRPr="00710F7A" w:rsidRDefault="00972BCD" w:rsidP="00972BCD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contextualSpacing w:val="0"/>
        <w:jc w:val="both"/>
        <w:rPr>
          <w:rFonts w:cstheme="minorHAnsi"/>
        </w:rPr>
      </w:pPr>
      <w:r w:rsidRPr="00710F7A">
        <w:rPr>
          <w:rFonts w:cstheme="minorHAnsi"/>
        </w:rPr>
        <w:t>Budget annexe service de l’eau : exercice 202</w:t>
      </w:r>
      <w:r w:rsidR="006C34A5" w:rsidRPr="00710F7A">
        <w:rPr>
          <w:rFonts w:cstheme="minorHAnsi"/>
        </w:rPr>
        <w:t>2</w:t>
      </w:r>
      <w:r w:rsidRPr="00710F7A">
        <w:rPr>
          <w:rFonts w:cstheme="minorHAnsi"/>
        </w:rPr>
        <w:t xml:space="preserve"> : </w:t>
      </w:r>
      <w:r w:rsidR="006C34A5" w:rsidRPr="00710F7A">
        <w:rPr>
          <w:rFonts w:cstheme="minorHAnsi"/>
        </w:rPr>
        <w:t>décision modificative n°1</w:t>
      </w:r>
    </w:p>
    <w:p w14:paraId="787563E6" w14:textId="035CD61D" w:rsidR="00972BCD" w:rsidRPr="00710F7A" w:rsidRDefault="00972BCD" w:rsidP="006C34A5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contextualSpacing w:val="0"/>
        <w:jc w:val="both"/>
        <w:rPr>
          <w:rFonts w:cstheme="minorHAnsi"/>
        </w:rPr>
      </w:pPr>
      <w:r w:rsidRPr="00710F7A">
        <w:rPr>
          <w:rFonts w:cstheme="minorHAnsi"/>
        </w:rPr>
        <w:t>Budget annexe Centre culturel des Carmes : exercice 202</w:t>
      </w:r>
      <w:r w:rsidR="006C34A5" w:rsidRPr="00710F7A">
        <w:rPr>
          <w:rFonts w:cstheme="minorHAnsi"/>
        </w:rPr>
        <w:t>2</w:t>
      </w:r>
      <w:r w:rsidRPr="00710F7A">
        <w:rPr>
          <w:rFonts w:cstheme="minorHAnsi"/>
        </w:rPr>
        <w:t xml:space="preserve"> : </w:t>
      </w:r>
      <w:r w:rsidR="006C34A5" w:rsidRPr="00710F7A">
        <w:rPr>
          <w:rFonts w:cstheme="minorHAnsi"/>
        </w:rPr>
        <w:t>décision modificative n°2</w:t>
      </w:r>
      <w:r w:rsidRPr="00710F7A">
        <w:rPr>
          <w:rFonts w:cstheme="minorHAnsi"/>
        </w:rPr>
        <w:t xml:space="preserve"> </w:t>
      </w:r>
    </w:p>
    <w:p w14:paraId="23AF6158" w14:textId="15F677B0" w:rsidR="00972BCD" w:rsidRPr="00357F22" w:rsidRDefault="00357F22" w:rsidP="00972BCD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 xml:space="preserve">Communauté de communes du Sud Gironde : </w:t>
      </w:r>
      <w:r w:rsidRPr="00357F22">
        <w:rPr>
          <w:rFonts w:ascii="Calibri" w:hAnsi="Calibri" w:cs="Calibri"/>
          <w:bCs/>
        </w:rPr>
        <w:t>Approbation du rapport du 4 mai 2022 de la Commission Locale d'évaluation des charges transférées et montant de l’attribution de compensation.</w:t>
      </w:r>
    </w:p>
    <w:p w14:paraId="2B5A50BD" w14:textId="3168F2D4" w:rsidR="00357F22" w:rsidRPr="00357F22" w:rsidRDefault="00357F22" w:rsidP="00357F22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right="1134"/>
        <w:jc w:val="both"/>
        <w:rPr>
          <w:rFonts w:cstheme="minorHAnsi"/>
          <w:bCs/>
        </w:rPr>
      </w:pPr>
      <w:r w:rsidRPr="00357F22">
        <w:rPr>
          <w:rFonts w:cstheme="minorHAnsi"/>
          <w:bCs/>
        </w:rPr>
        <w:t>Procédure d’appel d’offres ouvert</w:t>
      </w:r>
      <w:r>
        <w:rPr>
          <w:rFonts w:cstheme="minorHAnsi"/>
          <w:bCs/>
        </w:rPr>
        <w:t xml:space="preserve"> : marché de </w:t>
      </w:r>
      <w:r w:rsidRPr="00357F22">
        <w:rPr>
          <w:rFonts w:cstheme="minorHAnsi"/>
          <w:bCs/>
        </w:rPr>
        <w:t>fournitures des pièces de l’eau</w:t>
      </w:r>
      <w:r>
        <w:rPr>
          <w:rFonts w:cstheme="minorHAnsi"/>
          <w:bCs/>
        </w:rPr>
        <w:t xml:space="preserve"> : </w:t>
      </w:r>
      <w:r w:rsidRPr="00357F22">
        <w:rPr>
          <w:rFonts w:cstheme="minorHAnsi"/>
          <w:bCs/>
        </w:rPr>
        <w:t>Autorisation de signature</w:t>
      </w:r>
    </w:p>
    <w:p w14:paraId="1A362ACA" w14:textId="77777777" w:rsidR="00972BCD" w:rsidRDefault="00972BCD" w:rsidP="00972BCD">
      <w:pPr>
        <w:spacing w:before="240"/>
        <w:ind w:left="425" w:right="565" w:hanging="425"/>
        <w:jc w:val="both"/>
        <w:rPr>
          <w:rFonts w:cstheme="minorHAnsi"/>
          <w:b/>
          <w:bCs/>
          <w:color w:val="2F5496" w:themeColor="accent1" w:themeShade="BF"/>
          <w:u w:val="single"/>
        </w:rPr>
      </w:pPr>
      <w:r w:rsidRPr="00E126EC">
        <w:rPr>
          <w:rFonts w:cstheme="minorHAnsi"/>
          <w:b/>
          <w:bCs/>
          <w:color w:val="2F5496" w:themeColor="accent1" w:themeShade="BF"/>
          <w:u w:val="single"/>
        </w:rPr>
        <w:t>RESSOURCES HUMAINES</w:t>
      </w:r>
    </w:p>
    <w:p w14:paraId="346B8A48" w14:textId="328C8C9C" w:rsidR="00212B26" w:rsidRPr="00212B26" w:rsidRDefault="00357F22" w:rsidP="00212B26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contextualSpacing w:val="0"/>
        <w:jc w:val="both"/>
        <w:rPr>
          <w:rFonts w:cstheme="minorHAnsi"/>
        </w:rPr>
      </w:pPr>
      <w:r w:rsidRPr="00357F22">
        <w:rPr>
          <w:rFonts w:cstheme="minorHAnsi"/>
        </w:rPr>
        <w:t>Modification du tableau du personnel</w:t>
      </w:r>
      <w:r>
        <w:rPr>
          <w:rFonts w:cstheme="minorHAnsi"/>
        </w:rPr>
        <w:t xml:space="preserve"> : </w:t>
      </w:r>
      <w:r w:rsidRPr="00357F22">
        <w:rPr>
          <w:rFonts w:cstheme="minorHAnsi"/>
        </w:rPr>
        <w:t>création du poste de responsable informatique)</w:t>
      </w:r>
    </w:p>
    <w:p w14:paraId="51733603" w14:textId="36AED6DD" w:rsidR="00357F22" w:rsidRPr="00357F22" w:rsidRDefault="00972BCD" w:rsidP="00357F22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jc w:val="both"/>
        <w:rPr>
          <w:rFonts w:cstheme="minorHAnsi"/>
        </w:rPr>
      </w:pPr>
      <w:r w:rsidRPr="0007476C">
        <w:rPr>
          <w:rFonts w:cstheme="minorHAnsi"/>
        </w:rPr>
        <w:t xml:space="preserve"> </w:t>
      </w:r>
      <w:r w:rsidR="00357F22" w:rsidRPr="00357F22">
        <w:rPr>
          <w:rFonts w:cstheme="minorHAnsi"/>
        </w:rPr>
        <w:t>Instauration de la prime d’intéressement à la performance collective des services (PIPCS) pour le service de</w:t>
      </w:r>
      <w:r w:rsidR="00357F22">
        <w:rPr>
          <w:rFonts w:cstheme="minorHAnsi"/>
        </w:rPr>
        <w:t xml:space="preserve"> la </w:t>
      </w:r>
      <w:r w:rsidR="00357F22" w:rsidRPr="00357F22">
        <w:rPr>
          <w:rFonts w:cstheme="minorHAnsi"/>
        </w:rPr>
        <w:t>police municipale</w:t>
      </w:r>
    </w:p>
    <w:p w14:paraId="2B14353E" w14:textId="54FAFF82" w:rsidR="00972BCD" w:rsidRDefault="00357F22" w:rsidP="008343A7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jc w:val="both"/>
        <w:rPr>
          <w:rFonts w:cstheme="minorHAnsi"/>
        </w:rPr>
      </w:pPr>
      <w:r w:rsidRPr="00357F22">
        <w:rPr>
          <w:rFonts w:cstheme="minorHAnsi"/>
        </w:rPr>
        <w:t>Mise en place d’un régime d’astreintes et de permanences pour les agents des services techniques</w:t>
      </w:r>
    </w:p>
    <w:p w14:paraId="3C28F8F7" w14:textId="03BEF8BD" w:rsidR="00212B26" w:rsidRPr="0007476C" w:rsidRDefault="00212B26" w:rsidP="008343A7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jc w:val="both"/>
        <w:rPr>
          <w:rFonts w:cstheme="minorHAnsi"/>
        </w:rPr>
      </w:pPr>
      <w:r>
        <w:rPr>
          <w:rFonts w:cstheme="minorHAnsi"/>
        </w:rPr>
        <w:t>Modification du règlement relatif au prêt de véhicules</w:t>
      </w:r>
      <w:r w:rsidR="001B1061">
        <w:rPr>
          <w:rFonts w:cstheme="minorHAnsi"/>
        </w:rPr>
        <w:t xml:space="preserve"> aux agents et associations</w:t>
      </w:r>
    </w:p>
    <w:p w14:paraId="41E54890" w14:textId="77777777" w:rsidR="00972BCD" w:rsidRDefault="00972BCD" w:rsidP="00972BCD">
      <w:pPr>
        <w:spacing w:before="240"/>
        <w:ind w:left="425" w:right="565" w:hanging="425"/>
        <w:jc w:val="both"/>
        <w:rPr>
          <w:rFonts w:cstheme="minorHAnsi"/>
          <w:b/>
          <w:bCs/>
          <w:color w:val="2F5496" w:themeColor="accent1" w:themeShade="BF"/>
          <w:u w:val="single"/>
        </w:rPr>
      </w:pPr>
      <w:bookmarkStart w:id="3" w:name="_Hlk104793147"/>
      <w:r w:rsidRPr="00E126EC">
        <w:rPr>
          <w:rFonts w:cstheme="minorHAnsi"/>
          <w:b/>
          <w:bCs/>
          <w:color w:val="2F5496" w:themeColor="accent1" w:themeShade="BF"/>
          <w:u w:val="single"/>
        </w:rPr>
        <w:t xml:space="preserve">PROJET DE VILLE URBANISME </w:t>
      </w:r>
      <w:r>
        <w:rPr>
          <w:rFonts w:cstheme="minorHAnsi"/>
          <w:b/>
          <w:bCs/>
          <w:color w:val="2F5496" w:themeColor="accent1" w:themeShade="BF"/>
          <w:u w:val="single"/>
        </w:rPr>
        <w:t>HABITAT</w:t>
      </w:r>
    </w:p>
    <w:bookmarkEnd w:id="3"/>
    <w:p w14:paraId="141DA60A" w14:textId="68906170" w:rsidR="00972BCD" w:rsidRDefault="00212B26" w:rsidP="008343A7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jc w:val="both"/>
        <w:rPr>
          <w:rFonts w:cstheme="minorHAnsi"/>
        </w:rPr>
      </w:pPr>
      <w:r>
        <w:rPr>
          <w:rFonts w:cstheme="minorHAnsi"/>
        </w:rPr>
        <w:t xml:space="preserve">Classement de parcelles dans le domaine public de la commune </w:t>
      </w:r>
    </w:p>
    <w:p w14:paraId="4C9FC630" w14:textId="50591272" w:rsidR="00212B26" w:rsidRDefault="00212B26" w:rsidP="008343A7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jc w:val="both"/>
        <w:rPr>
          <w:rFonts w:cstheme="minorHAnsi"/>
        </w:rPr>
      </w:pPr>
      <w:r>
        <w:rPr>
          <w:rFonts w:cstheme="minorHAnsi"/>
        </w:rPr>
        <w:t>Dénomination de rues</w:t>
      </w:r>
      <w:r w:rsidR="001B1061">
        <w:rPr>
          <w:rFonts w:cstheme="minorHAnsi"/>
        </w:rPr>
        <w:t xml:space="preserve"> </w:t>
      </w:r>
    </w:p>
    <w:p w14:paraId="6FB2989F" w14:textId="374379CB" w:rsidR="00212B26" w:rsidRDefault="005A631A" w:rsidP="008343A7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jc w:val="both"/>
        <w:rPr>
          <w:rFonts w:cstheme="minorHAnsi"/>
        </w:rPr>
      </w:pPr>
      <w:r>
        <w:rPr>
          <w:rFonts w:cstheme="minorHAnsi"/>
        </w:rPr>
        <w:t>Charte d’occupation du domaine public</w:t>
      </w:r>
      <w:r w:rsidR="001B1061">
        <w:rPr>
          <w:rFonts w:cstheme="minorHAnsi"/>
        </w:rPr>
        <w:t xml:space="preserve"> à titre commercial</w:t>
      </w:r>
    </w:p>
    <w:p w14:paraId="580D4F87" w14:textId="77777777" w:rsidR="005A631A" w:rsidRDefault="005A631A" w:rsidP="008343A7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jc w:val="both"/>
        <w:rPr>
          <w:rFonts w:cstheme="minorHAnsi"/>
        </w:rPr>
      </w:pPr>
      <w:r w:rsidRPr="005A631A">
        <w:rPr>
          <w:rFonts w:cstheme="minorHAnsi"/>
        </w:rPr>
        <w:t>Délibération Taxe Locale sur la Publicité Extérieure (TLPE)</w:t>
      </w:r>
      <w:r>
        <w:rPr>
          <w:rFonts w:cstheme="minorHAnsi"/>
        </w:rPr>
        <w:t xml:space="preserve"> : </w:t>
      </w:r>
      <w:r w:rsidRPr="005A631A">
        <w:rPr>
          <w:rFonts w:cstheme="minorHAnsi"/>
        </w:rPr>
        <w:t xml:space="preserve">Révision tarif </w:t>
      </w:r>
    </w:p>
    <w:p w14:paraId="5D9D6E44" w14:textId="6C71E7A4" w:rsidR="005A631A" w:rsidRDefault="005A631A" w:rsidP="008343A7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jc w:val="both"/>
        <w:rPr>
          <w:rFonts w:cstheme="minorHAnsi"/>
        </w:rPr>
      </w:pPr>
      <w:r w:rsidRPr="005A631A">
        <w:rPr>
          <w:rFonts w:cstheme="minorHAnsi"/>
        </w:rPr>
        <w:t>Convention d’occupation temporaire du domaine public</w:t>
      </w:r>
      <w:r>
        <w:rPr>
          <w:rFonts w:cstheme="minorHAnsi"/>
        </w:rPr>
        <w:t xml:space="preserve"> suite à l’a</w:t>
      </w:r>
      <w:r w:rsidRPr="005A631A">
        <w:rPr>
          <w:rFonts w:cstheme="minorHAnsi"/>
        </w:rPr>
        <w:t>vis d’</w:t>
      </w:r>
      <w:r>
        <w:rPr>
          <w:rFonts w:cstheme="minorHAnsi"/>
        </w:rPr>
        <w:t>a</w:t>
      </w:r>
      <w:r w:rsidRPr="005A631A">
        <w:rPr>
          <w:rFonts w:cstheme="minorHAnsi"/>
        </w:rPr>
        <w:t xml:space="preserve">ppel </w:t>
      </w:r>
      <w:r>
        <w:rPr>
          <w:rFonts w:cstheme="minorHAnsi"/>
        </w:rPr>
        <w:t>à</w:t>
      </w:r>
      <w:r w:rsidRPr="005A631A">
        <w:rPr>
          <w:rFonts w:cstheme="minorHAnsi"/>
        </w:rPr>
        <w:t xml:space="preserve"> Projet 2022-01</w:t>
      </w:r>
      <w:r>
        <w:rPr>
          <w:rFonts w:cstheme="minorHAnsi"/>
        </w:rPr>
        <w:t xml:space="preserve"> pour l’a</w:t>
      </w:r>
      <w:r w:rsidRPr="005A631A">
        <w:rPr>
          <w:rFonts w:cstheme="minorHAnsi"/>
        </w:rPr>
        <w:t>nimation estivale des quais</w:t>
      </w:r>
      <w:r w:rsidR="00064CB5">
        <w:rPr>
          <w:rFonts w:cstheme="minorHAnsi"/>
        </w:rPr>
        <w:t> : autorisation de signature</w:t>
      </w:r>
    </w:p>
    <w:p w14:paraId="2F44E894" w14:textId="68D07ABB" w:rsidR="001B3434" w:rsidRDefault="00064CB5" w:rsidP="008343A7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jc w:val="both"/>
        <w:rPr>
          <w:rFonts w:cstheme="minorHAnsi"/>
        </w:rPr>
      </w:pPr>
      <w:r>
        <w:rPr>
          <w:rFonts w:cstheme="minorHAnsi"/>
        </w:rPr>
        <w:t xml:space="preserve">Communauté de communes du Sud Gironde : </w:t>
      </w:r>
      <w:r w:rsidR="001B3434">
        <w:rPr>
          <w:rFonts w:cstheme="minorHAnsi"/>
        </w:rPr>
        <w:t>Avis sur le R</w:t>
      </w:r>
      <w:r>
        <w:rPr>
          <w:rFonts w:cstheme="minorHAnsi"/>
        </w:rPr>
        <w:t xml:space="preserve">èglement </w:t>
      </w:r>
      <w:r w:rsidR="001B3434">
        <w:rPr>
          <w:rFonts w:cstheme="minorHAnsi"/>
        </w:rPr>
        <w:t>L</w:t>
      </w:r>
      <w:r>
        <w:rPr>
          <w:rFonts w:cstheme="minorHAnsi"/>
        </w:rPr>
        <w:t xml:space="preserve">ocal de </w:t>
      </w:r>
      <w:r w:rsidR="001B3434">
        <w:rPr>
          <w:rFonts w:cstheme="minorHAnsi"/>
        </w:rPr>
        <w:t>P</w:t>
      </w:r>
      <w:r>
        <w:rPr>
          <w:rFonts w:cstheme="minorHAnsi"/>
        </w:rPr>
        <w:t xml:space="preserve">ublicité </w:t>
      </w:r>
      <w:r w:rsidR="001B3434">
        <w:rPr>
          <w:rFonts w:cstheme="minorHAnsi"/>
        </w:rPr>
        <w:t>I</w:t>
      </w:r>
      <w:r>
        <w:rPr>
          <w:rFonts w:cstheme="minorHAnsi"/>
        </w:rPr>
        <w:t>ntercommunal</w:t>
      </w:r>
    </w:p>
    <w:p w14:paraId="07ED2065" w14:textId="3CAFC88C" w:rsidR="005D6FF7" w:rsidRDefault="005D6FF7" w:rsidP="008343A7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jc w:val="both"/>
        <w:rPr>
          <w:rFonts w:cstheme="minorHAnsi"/>
        </w:rPr>
      </w:pPr>
      <w:r w:rsidRPr="005D6FF7">
        <w:rPr>
          <w:rFonts w:cstheme="minorHAnsi"/>
        </w:rPr>
        <w:t>Amenagement aux abords du collège Toulouse</w:t>
      </w:r>
      <w:r>
        <w:rPr>
          <w:rFonts w:cstheme="minorHAnsi"/>
        </w:rPr>
        <w:t>-</w:t>
      </w:r>
      <w:r w:rsidRPr="005D6FF7">
        <w:rPr>
          <w:rFonts w:cstheme="minorHAnsi"/>
        </w:rPr>
        <w:t>Lautrec</w:t>
      </w:r>
      <w:r w:rsidR="007D7D4D">
        <w:rPr>
          <w:rFonts w:cstheme="minorHAnsi"/>
        </w:rPr>
        <w:t xml:space="preserve"> : </w:t>
      </w:r>
      <w:r w:rsidRPr="005D6FF7">
        <w:rPr>
          <w:rFonts w:cstheme="minorHAnsi"/>
        </w:rPr>
        <w:t xml:space="preserve">convention de contribution financière de la commune de </w:t>
      </w:r>
      <w:r>
        <w:rPr>
          <w:rFonts w:cstheme="minorHAnsi"/>
        </w:rPr>
        <w:t>L</w:t>
      </w:r>
      <w:r w:rsidRPr="005D6FF7">
        <w:rPr>
          <w:rFonts w:cstheme="minorHAnsi"/>
        </w:rPr>
        <w:t xml:space="preserve">angon au profit du département de la </w:t>
      </w:r>
      <w:r>
        <w:rPr>
          <w:rFonts w:cstheme="minorHAnsi"/>
        </w:rPr>
        <w:t>G</w:t>
      </w:r>
      <w:r w:rsidRPr="005D6FF7">
        <w:rPr>
          <w:rFonts w:cstheme="minorHAnsi"/>
        </w:rPr>
        <w:t>ironde</w:t>
      </w:r>
    </w:p>
    <w:p w14:paraId="1552ED52" w14:textId="276279F3" w:rsidR="00972BCD" w:rsidRDefault="00972BCD" w:rsidP="008343A7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jc w:val="both"/>
        <w:rPr>
          <w:rFonts w:cstheme="minorHAnsi"/>
        </w:rPr>
      </w:pPr>
      <w:r w:rsidRPr="00491569">
        <w:rPr>
          <w:rFonts w:cstheme="minorHAnsi"/>
        </w:rPr>
        <w:t xml:space="preserve">Demande de subvention </w:t>
      </w:r>
      <w:r w:rsidR="005A631A">
        <w:rPr>
          <w:rFonts w:cstheme="minorHAnsi"/>
        </w:rPr>
        <w:t>au titre de la DETR : renouvellement de la canalisation d’eau potable rue Fabre</w:t>
      </w:r>
      <w:r w:rsidRPr="00491569">
        <w:rPr>
          <w:rFonts w:cstheme="minorHAnsi"/>
        </w:rPr>
        <w:t xml:space="preserve"> </w:t>
      </w:r>
    </w:p>
    <w:p w14:paraId="21360347" w14:textId="36AECBEA" w:rsidR="00972BCD" w:rsidRPr="006E615B" w:rsidRDefault="005A631A" w:rsidP="005A631A">
      <w:pPr>
        <w:spacing w:before="240"/>
        <w:ind w:right="565"/>
        <w:jc w:val="both"/>
        <w:rPr>
          <w:rFonts w:cstheme="minorHAnsi"/>
          <w:b/>
          <w:bCs/>
          <w:color w:val="2F5496" w:themeColor="accent1" w:themeShade="BF"/>
          <w:u w:val="single"/>
        </w:rPr>
      </w:pPr>
      <w:r>
        <w:rPr>
          <w:rFonts w:cstheme="minorHAnsi"/>
          <w:b/>
          <w:bCs/>
          <w:color w:val="2F5496" w:themeColor="accent1" w:themeShade="BF"/>
          <w:u w:val="single"/>
        </w:rPr>
        <w:t>CULTURE</w:t>
      </w:r>
    </w:p>
    <w:p w14:paraId="302882F3" w14:textId="20F276C0" w:rsidR="00972BCD" w:rsidRPr="008343A7" w:rsidRDefault="005A631A" w:rsidP="008343A7">
      <w:pPr>
        <w:pStyle w:val="Paragraphedeliste"/>
        <w:numPr>
          <w:ilvl w:val="0"/>
          <w:numId w:val="2"/>
        </w:numPr>
        <w:tabs>
          <w:tab w:val="left" w:pos="7937"/>
        </w:tabs>
        <w:spacing w:before="60"/>
        <w:ind w:left="714" w:right="1134" w:hanging="357"/>
        <w:jc w:val="both"/>
        <w:rPr>
          <w:rFonts w:cstheme="minorHAnsi"/>
        </w:rPr>
      </w:pPr>
      <w:r>
        <w:rPr>
          <w:rFonts w:cstheme="minorHAnsi"/>
        </w:rPr>
        <w:t xml:space="preserve">Demande de subvention </w:t>
      </w:r>
      <w:r w:rsidRPr="008343A7">
        <w:rPr>
          <w:rFonts w:cstheme="minorHAnsi"/>
        </w:rPr>
        <w:t>au Conseil Départemental de Gironde dans le cadre de la politique culturelle de la ville</w:t>
      </w:r>
    </w:p>
    <w:p w14:paraId="1D347B0C" w14:textId="03B1EEAC" w:rsidR="00972BCD" w:rsidRDefault="00972BCD" w:rsidP="00972BCD">
      <w:pPr>
        <w:spacing w:before="240" w:after="120" w:line="240" w:lineRule="auto"/>
        <w:ind w:right="565"/>
        <w:jc w:val="both"/>
        <w:rPr>
          <w:rFonts w:cstheme="minorHAnsi"/>
          <w:b/>
          <w:bCs/>
          <w:color w:val="2F5496" w:themeColor="accent1" w:themeShade="BF"/>
          <w:u w:val="single"/>
        </w:rPr>
      </w:pPr>
      <w:r w:rsidRPr="00C150C8">
        <w:rPr>
          <w:rFonts w:cstheme="minorHAnsi"/>
          <w:b/>
          <w:bCs/>
          <w:color w:val="2F5496" w:themeColor="accent1" w:themeShade="BF"/>
          <w:u w:val="single"/>
        </w:rPr>
        <w:t>COMMUNICATIONS</w:t>
      </w:r>
    </w:p>
    <w:bookmarkEnd w:id="0"/>
    <w:bookmarkEnd w:id="1"/>
    <w:p w14:paraId="7241D14B" w14:textId="77777777" w:rsidR="000B6430" w:rsidRDefault="000B6430"/>
    <w:sectPr w:rsidR="000B6430" w:rsidSect="00CF3DD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7AC1"/>
    <w:multiLevelType w:val="hybridMultilevel"/>
    <w:tmpl w:val="3B6A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65775"/>
    <w:multiLevelType w:val="hybridMultilevel"/>
    <w:tmpl w:val="11AE8D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A3F40"/>
    <w:multiLevelType w:val="hybridMultilevel"/>
    <w:tmpl w:val="11AE8D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3C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3435A"/>
    <w:multiLevelType w:val="hybridMultilevel"/>
    <w:tmpl w:val="FE3CCF78"/>
    <w:lvl w:ilvl="0" w:tplc="7D045F92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933009832">
    <w:abstractNumId w:val="0"/>
  </w:num>
  <w:num w:numId="2" w16cid:durableId="1572303916">
    <w:abstractNumId w:val="2"/>
  </w:num>
  <w:num w:numId="3" w16cid:durableId="441530695">
    <w:abstractNumId w:val="3"/>
  </w:num>
  <w:num w:numId="4" w16cid:durableId="1534150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CD"/>
    <w:rsid w:val="00064CB5"/>
    <w:rsid w:val="000B6430"/>
    <w:rsid w:val="001B1061"/>
    <w:rsid w:val="001B3434"/>
    <w:rsid w:val="001C7172"/>
    <w:rsid w:val="00212B26"/>
    <w:rsid w:val="00357F22"/>
    <w:rsid w:val="005A631A"/>
    <w:rsid w:val="005D6FF7"/>
    <w:rsid w:val="006C34A5"/>
    <w:rsid w:val="00710F7A"/>
    <w:rsid w:val="007C51D5"/>
    <w:rsid w:val="007D7D4D"/>
    <w:rsid w:val="008343A7"/>
    <w:rsid w:val="008D0883"/>
    <w:rsid w:val="00972BCD"/>
    <w:rsid w:val="009A3985"/>
    <w:rsid w:val="00D76EEA"/>
    <w:rsid w:val="00DB1E80"/>
    <w:rsid w:val="00E73F08"/>
    <w:rsid w:val="00FA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DE87"/>
  <w15:chartTrackingRefBased/>
  <w15:docId w15:val="{C51AA708-6D8D-48C8-A706-DEE290A6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2BCD"/>
    <w:pPr>
      <w:spacing w:after="0" w:line="240" w:lineRule="auto"/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76EE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6EE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6EE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6EE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6EEA"/>
    <w:rPr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39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A398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2C6C-92AA-44EB-B3CF-77397375D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DUPORT, Eve</dc:creator>
  <cp:keywords/>
  <dc:description/>
  <cp:lastModifiedBy>Selvie LEGROS</cp:lastModifiedBy>
  <cp:revision>11</cp:revision>
  <dcterms:created xsi:type="dcterms:W3CDTF">2022-05-29T17:31:00Z</dcterms:created>
  <dcterms:modified xsi:type="dcterms:W3CDTF">2022-06-02T08:44:00Z</dcterms:modified>
</cp:coreProperties>
</file>