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FC71" w14:textId="77777777" w:rsidR="00726F68" w:rsidRDefault="00726F68" w:rsidP="00726F68">
      <w:pPr>
        <w:shd w:val="clear" w:color="auto" w:fill="FFFFFF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7E358B7" w14:textId="322DFEB0" w:rsidR="00726F68" w:rsidRDefault="00726F68" w:rsidP="00726F68">
      <w:pPr>
        <w:shd w:val="clear" w:color="auto" w:fill="FFFFFF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C540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CONSEIL MUNICIPAL DU </w:t>
      </w:r>
      <w:r w:rsidR="00F70457">
        <w:rPr>
          <w:rFonts w:ascii="Times New Roman" w:eastAsia="Calibri" w:hAnsi="Times New Roman" w:cs="Times New Roman"/>
          <w:b/>
          <w:sz w:val="24"/>
          <w:szCs w:val="24"/>
          <w:u w:val="single"/>
        </w:rPr>
        <w:t>LUNDI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F70457">
        <w:rPr>
          <w:rFonts w:ascii="Times New Roman" w:eastAsia="Calibri" w:hAnsi="Times New Roman" w:cs="Times New Roman"/>
          <w:b/>
          <w:sz w:val="24"/>
          <w:szCs w:val="24"/>
          <w:u w:val="single"/>
        </w:rPr>
        <w:t>19</w:t>
      </w:r>
      <w:r w:rsidR="0053112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F70457">
        <w:rPr>
          <w:rFonts w:ascii="Times New Roman" w:eastAsia="Calibri" w:hAnsi="Times New Roman" w:cs="Times New Roman"/>
          <w:b/>
          <w:sz w:val="24"/>
          <w:szCs w:val="24"/>
          <w:u w:val="single"/>
        </w:rPr>
        <w:t>DEC</w:t>
      </w:r>
      <w:r w:rsidR="00531125">
        <w:rPr>
          <w:rFonts w:ascii="Times New Roman" w:eastAsia="Calibri" w:hAnsi="Times New Roman" w:cs="Times New Roman"/>
          <w:b/>
          <w:sz w:val="24"/>
          <w:szCs w:val="24"/>
          <w:u w:val="single"/>
        </w:rPr>
        <w:t>EMBR</w:t>
      </w:r>
      <w:r w:rsidR="009E6D58">
        <w:rPr>
          <w:rFonts w:ascii="Times New Roman" w:eastAsia="Calibri" w:hAnsi="Times New Roman" w:cs="Times New Roman"/>
          <w:b/>
          <w:sz w:val="24"/>
          <w:szCs w:val="24"/>
          <w:u w:val="single"/>
        </w:rPr>
        <w:t>E 2022</w:t>
      </w:r>
    </w:p>
    <w:p w14:paraId="57CF19E7" w14:textId="358DCE80" w:rsidR="00726F68" w:rsidRPr="006D4C62" w:rsidRDefault="00726F68" w:rsidP="00726F68">
      <w:pPr>
        <w:shd w:val="clear" w:color="auto" w:fill="FFFFFF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D4C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ORDRE DU JOUR</w:t>
      </w:r>
    </w:p>
    <w:p w14:paraId="3F21A050" w14:textId="77777777" w:rsidR="00726F68" w:rsidRDefault="00726F68" w:rsidP="00833197">
      <w:pPr>
        <w:pStyle w:val="Paragraphedeliste"/>
        <w:numPr>
          <w:ilvl w:val="0"/>
          <w:numId w:val="1"/>
        </w:numPr>
        <w:spacing w:before="120"/>
        <w:ind w:left="0" w:right="1559" w:firstLine="0"/>
        <w:jc w:val="both"/>
        <w:rPr>
          <w:rFonts w:cstheme="minorHAnsi"/>
        </w:rPr>
      </w:pPr>
      <w:r w:rsidRPr="00223000">
        <w:rPr>
          <w:rFonts w:cstheme="minorHAnsi"/>
        </w:rPr>
        <w:t>Désignation du Secrétaire de séance</w:t>
      </w:r>
    </w:p>
    <w:p w14:paraId="080FFE66" w14:textId="10055D5F" w:rsidR="00726F68" w:rsidRPr="008D0947" w:rsidRDefault="00726F68" w:rsidP="00833197">
      <w:pPr>
        <w:pStyle w:val="Paragraphedeliste"/>
        <w:numPr>
          <w:ilvl w:val="0"/>
          <w:numId w:val="1"/>
        </w:numPr>
        <w:spacing w:before="120"/>
        <w:ind w:left="709" w:right="1559" w:hanging="709"/>
        <w:jc w:val="both"/>
        <w:rPr>
          <w:rFonts w:cstheme="minorHAnsi"/>
        </w:rPr>
      </w:pPr>
      <w:r w:rsidRPr="007762E8">
        <w:rPr>
          <w:rFonts w:cstheme="minorHAnsi"/>
        </w:rPr>
        <w:t>Approbation du procès-verbal du Conseil Municipal d</w:t>
      </w:r>
      <w:r>
        <w:rPr>
          <w:rFonts w:cstheme="minorHAnsi"/>
        </w:rPr>
        <w:t xml:space="preserve">u vendredi </w:t>
      </w:r>
      <w:r w:rsidR="00B5469C">
        <w:rPr>
          <w:rFonts w:cstheme="minorHAnsi"/>
        </w:rPr>
        <w:t xml:space="preserve">4 novembre </w:t>
      </w:r>
      <w:r w:rsidR="00531125">
        <w:rPr>
          <w:rFonts w:cstheme="minorHAnsi"/>
        </w:rPr>
        <w:t>2022</w:t>
      </w:r>
    </w:p>
    <w:p w14:paraId="689F40A8" w14:textId="221AF22A" w:rsidR="00726F68" w:rsidRPr="006D4C62" w:rsidRDefault="00726F68" w:rsidP="00833197">
      <w:pPr>
        <w:pStyle w:val="Paragraphedeliste"/>
        <w:numPr>
          <w:ilvl w:val="0"/>
          <w:numId w:val="1"/>
        </w:numPr>
        <w:spacing w:before="120"/>
        <w:ind w:left="0" w:right="1559" w:firstLine="0"/>
        <w:jc w:val="both"/>
        <w:rPr>
          <w:rFonts w:cstheme="minorHAnsi"/>
          <w:b/>
          <w:bCs/>
        </w:rPr>
      </w:pPr>
      <w:r w:rsidRPr="007762E8">
        <w:rPr>
          <w:rFonts w:cstheme="minorHAnsi"/>
        </w:rPr>
        <w:t>Compte rendu des Décisions et des MAPA</w:t>
      </w:r>
      <w:r>
        <w:rPr>
          <w:rFonts w:cstheme="minorHAnsi"/>
          <w:b/>
          <w:bCs/>
        </w:rPr>
        <w:t xml:space="preserve"> </w:t>
      </w:r>
    </w:p>
    <w:p w14:paraId="40805050" w14:textId="04AD2E39" w:rsidR="00726F68" w:rsidRDefault="00726F68" w:rsidP="00833197">
      <w:pPr>
        <w:spacing w:before="240" w:after="0" w:line="240" w:lineRule="auto"/>
        <w:ind w:right="1559"/>
        <w:jc w:val="both"/>
        <w:rPr>
          <w:rFonts w:ascii="Times New Roman" w:eastAsia="Times New Roman" w:hAnsi="Times New Roman" w:cstheme="minorHAnsi"/>
          <w:b/>
          <w:bCs/>
          <w:color w:val="2F5496" w:themeColor="accent1" w:themeShade="BF"/>
          <w:sz w:val="20"/>
          <w:szCs w:val="20"/>
          <w:u w:val="single"/>
          <w:lang w:eastAsia="fr-FR"/>
        </w:rPr>
      </w:pPr>
      <w:bookmarkStart w:id="0" w:name="_Hlk89360903"/>
      <w:bookmarkStart w:id="1" w:name="_Hlk87366302"/>
      <w:r w:rsidRPr="00490649">
        <w:rPr>
          <w:rFonts w:ascii="Times New Roman" w:eastAsia="Times New Roman" w:hAnsi="Times New Roman" w:cstheme="minorHAnsi"/>
          <w:b/>
          <w:bCs/>
          <w:color w:val="2F5496" w:themeColor="accent1" w:themeShade="BF"/>
          <w:sz w:val="20"/>
          <w:szCs w:val="20"/>
          <w:u w:val="single"/>
          <w:lang w:eastAsia="fr-FR"/>
        </w:rPr>
        <w:t xml:space="preserve">FINANCES </w:t>
      </w:r>
    </w:p>
    <w:p w14:paraId="6FAF3D06" w14:textId="73CC7954" w:rsidR="0024042C" w:rsidRPr="0024042C" w:rsidRDefault="00C70F2B" w:rsidP="0024042C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Adoption du </w:t>
      </w:r>
      <w:r w:rsidR="0024042C" w:rsidRPr="0024042C">
        <w:rPr>
          <w:rFonts w:ascii="Century Gothic" w:hAnsi="Century Gothic" w:cs="Calibri"/>
          <w:sz w:val="20"/>
          <w:szCs w:val="20"/>
        </w:rPr>
        <w:t xml:space="preserve">Règlement budgétaire et financier </w:t>
      </w:r>
      <w:r w:rsidR="00AE14FE">
        <w:rPr>
          <w:rFonts w:ascii="Century Gothic" w:hAnsi="Century Gothic" w:cs="Calibri"/>
          <w:sz w:val="20"/>
          <w:szCs w:val="20"/>
        </w:rPr>
        <w:t>(</w:t>
      </w:r>
      <w:r w:rsidR="0024042C" w:rsidRPr="0024042C">
        <w:rPr>
          <w:rFonts w:ascii="Century Gothic" w:hAnsi="Century Gothic" w:cs="Calibri"/>
          <w:sz w:val="20"/>
          <w:szCs w:val="20"/>
        </w:rPr>
        <w:t>ville et Carmes</w:t>
      </w:r>
      <w:r w:rsidR="00AE14FE">
        <w:rPr>
          <w:rFonts w:ascii="Century Gothic" w:hAnsi="Century Gothic" w:cs="Calibri"/>
          <w:sz w:val="20"/>
          <w:szCs w:val="20"/>
        </w:rPr>
        <w:t>)</w:t>
      </w:r>
    </w:p>
    <w:p w14:paraId="30C4F130" w14:textId="2FC42338" w:rsidR="0024042C" w:rsidRDefault="006C54DD" w:rsidP="0024042C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Budget principal : </w:t>
      </w:r>
      <w:r w:rsidR="00AE39C8" w:rsidRPr="00AE39C8">
        <w:rPr>
          <w:rFonts w:ascii="Century Gothic" w:hAnsi="Century Gothic" w:cs="Calibri"/>
          <w:sz w:val="20"/>
          <w:szCs w:val="20"/>
        </w:rPr>
        <w:t>Fixation du mode de gestion des amortissements et des immobilisations</w:t>
      </w:r>
      <w:r w:rsidR="00AE39C8">
        <w:rPr>
          <w:rFonts w:ascii="Century Gothic" w:hAnsi="Century Gothic" w:cs="Calibri"/>
          <w:sz w:val="20"/>
          <w:szCs w:val="20"/>
        </w:rPr>
        <w:t xml:space="preserve"> </w:t>
      </w:r>
    </w:p>
    <w:p w14:paraId="2942C963" w14:textId="1DA54BA2" w:rsidR="003A4864" w:rsidRDefault="006C54DD" w:rsidP="003A4864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Budget annexe Les carmes : </w:t>
      </w:r>
      <w:r w:rsidR="003A4864" w:rsidRPr="00AE39C8">
        <w:rPr>
          <w:rFonts w:ascii="Century Gothic" w:hAnsi="Century Gothic" w:cs="Calibri"/>
          <w:sz w:val="20"/>
          <w:szCs w:val="20"/>
        </w:rPr>
        <w:t>Fixation du mode de gestion des amortissements et des immobilisations</w:t>
      </w:r>
      <w:r w:rsidR="003A4864">
        <w:rPr>
          <w:rFonts w:ascii="Century Gothic" w:hAnsi="Century Gothic" w:cs="Calibri"/>
          <w:sz w:val="20"/>
          <w:szCs w:val="20"/>
        </w:rPr>
        <w:t xml:space="preserve"> </w:t>
      </w:r>
    </w:p>
    <w:p w14:paraId="28AA1D26" w14:textId="7E810FCA" w:rsidR="006C54DD" w:rsidRDefault="006C54DD" w:rsidP="003A4864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Budget annexe régie de l’eau : Fixation du mode de gestion des amortissements des immobilisations </w:t>
      </w:r>
    </w:p>
    <w:p w14:paraId="0E658865" w14:textId="3F3BCECA" w:rsidR="0024042C" w:rsidRPr="00940C30" w:rsidRDefault="006C54DD" w:rsidP="0024042C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 w:rsidRPr="00940C30">
        <w:rPr>
          <w:rFonts w:ascii="Century Gothic" w:hAnsi="Century Gothic" w:cs="Calibri"/>
          <w:sz w:val="20"/>
          <w:szCs w:val="20"/>
        </w:rPr>
        <w:t xml:space="preserve">Budget principal : </w:t>
      </w:r>
      <w:r w:rsidR="0024042C" w:rsidRPr="00940C30">
        <w:rPr>
          <w:rFonts w:ascii="Century Gothic" w:hAnsi="Century Gothic" w:cs="Calibri"/>
          <w:sz w:val="20"/>
          <w:szCs w:val="20"/>
        </w:rPr>
        <w:t>D</w:t>
      </w:r>
      <w:r w:rsidRPr="00940C30">
        <w:rPr>
          <w:rFonts w:ascii="Century Gothic" w:hAnsi="Century Gothic" w:cs="Calibri"/>
          <w:sz w:val="20"/>
          <w:szCs w:val="20"/>
        </w:rPr>
        <w:t xml:space="preserve">écision </w:t>
      </w:r>
      <w:r w:rsidR="0024042C" w:rsidRPr="00940C30">
        <w:rPr>
          <w:rFonts w:ascii="Century Gothic" w:hAnsi="Century Gothic" w:cs="Calibri"/>
          <w:sz w:val="20"/>
          <w:szCs w:val="20"/>
        </w:rPr>
        <w:t>M</w:t>
      </w:r>
      <w:r w:rsidRPr="00940C30">
        <w:rPr>
          <w:rFonts w:ascii="Century Gothic" w:hAnsi="Century Gothic" w:cs="Calibri"/>
          <w:sz w:val="20"/>
          <w:szCs w:val="20"/>
        </w:rPr>
        <w:t>odificative n°2</w:t>
      </w:r>
      <w:r w:rsidR="0024042C" w:rsidRPr="00940C30">
        <w:rPr>
          <w:rFonts w:ascii="Century Gothic" w:hAnsi="Century Gothic" w:cs="Calibri"/>
          <w:sz w:val="20"/>
          <w:szCs w:val="20"/>
        </w:rPr>
        <w:t xml:space="preserve"> </w:t>
      </w:r>
    </w:p>
    <w:p w14:paraId="16047078" w14:textId="59931E20" w:rsidR="0024042C" w:rsidRPr="00940C30" w:rsidRDefault="006C54DD" w:rsidP="0024042C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 w:rsidRPr="00940C30">
        <w:rPr>
          <w:rFonts w:ascii="Century Gothic" w:hAnsi="Century Gothic" w:cs="Calibri"/>
          <w:sz w:val="20"/>
          <w:szCs w:val="20"/>
        </w:rPr>
        <w:t xml:space="preserve">Budget annexe Les Carmes : </w:t>
      </w:r>
      <w:r w:rsidR="0024042C" w:rsidRPr="00940C30">
        <w:rPr>
          <w:rFonts w:ascii="Century Gothic" w:hAnsi="Century Gothic" w:cs="Calibri"/>
          <w:sz w:val="20"/>
          <w:szCs w:val="20"/>
        </w:rPr>
        <w:t>D</w:t>
      </w:r>
      <w:r w:rsidRPr="00940C30">
        <w:rPr>
          <w:rFonts w:ascii="Century Gothic" w:hAnsi="Century Gothic" w:cs="Calibri"/>
          <w:sz w:val="20"/>
          <w:szCs w:val="20"/>
        </w:rPr>
        <w:t xml:space="preserve">écision </w:t>
      </w:r>
      <w:r w:rsidR="0024042C" w:rsidRPr="00940C30">
        <w:rPr>
          <w:rFonts w:ascii="Century Gothic" w:hAnsi="Century Gothic" w:cs="Calibri"/>
          <w:sz w:val="20"/>
          <w:szCs w:val="20"/>
        </w:rPr>
        <w:t>M</w:t>
      </w:r>
      <w:r w:rsidRPr="00940C30">
        <w:rPr>
          <w:rFonts w:ascii="Century Gothic" w:hAnsi="Century Gothic" w:cs="Calibri"/>
          <w:sz w:val="20"/>
          <w:szCs w:val="20"/>
        </w:rPr>
        <w:t>odificative</w:t>
      </w:r>
      <w:r w:rsidR="0024042C" w:rsidRPr="00940C30">
        <w:rPr>
          <w:rFonts w:ascii="Century Gothic" w:hAnsi="Century Gothic" w:cs="Calibri"/>
          <w:sz w:val="20"/>
          <w:szCs w:val="20"/>
        </w:rPr>
        <w:t xml:space="preserve"> </w:t>
      </w:r>
    </w:p>
    <w:p w14:paraId="3C8B44A3" w14:textId="0657704C" w:rsidR="0024042C" w:rsidRPr="001E3947" w:rsidRDefault="0024042C" w:rsidP="0024042C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 w:rsidRPr="001E3947">
        <w:rPr>
          <w:rFonts w:ascii="Century Gothic" w:hAnsi="Century Gothic" w:cs="Calibri"/>
          <w:sz w:val="20"/>
          <w:szCs w:val="20"/>
        </w:rPr>
        <w:t>DOB 2023</w:t>
      </w:r>
    </w:p>
    <w:p w14:paraId="528BEB02" w14:textId="27D487CF" w:rsidR="00726F68" w:rsidRDefault="00726F68" w:rsidP="00833197">
      <w:pPr>
        <w:spacing w:before="240" w:after="0" w:line="240" w:lineRule="auto"/>
        <w:ind w:right="1559"/>
        <w:jc w:val="both"/>
        <w:rPr>
          <w:rFonts w:ascii="Times New Roman" w:eastAsia="Times New Roman" w:hAnsi="Times New Roman" w:cstheme="minorHAnsi"/>
          <w:b/>
          <w:bCs/>
          <w:color w:val="2F5496" w:themeColor="accent1" w:themeShade="BF"/>
          <w:sz w:val="20"/>
          <w:szCs w:val="20"/>
          <w:u w:val="single"/>
          <w:lang w:eastAsia="fr-FR"/>
        </w:rPr>
      </w:pPr>
      <w:r w:rsidRPr="00490649">
        <w:rPr>
          <w:rFonts w:ascii="Times New Roman" w:eastAsia="Times New Roman" w:hAnsi="Times New Roman" w:cstheme="minorHAnsi"/>
          <w:b/>
          <w:bCs/>
          <w:color w:val="2F5496" w:themeColor="accent1" w:themeShade="BF"/>
          <w:sz w:val="20"/>
          <w:szCs w:val="20"/>
          <w:u w:val="single"/>
          <w:lang w:eastAsia="fr-FR"/>
        </w:rPr>
        <w:t>RESSOURCES HUMAINES</w:t>
      </w:r>
    </w:p>
    <w:p w14:paraId="307730EF" w14:textId="7EFCAF39" w:rsidR="009F2CAD" w:rsidRDefault="009F2CAD" w:rsidP="005830AF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 w:rsidRPr="009F2CAD">
        <w:rPr>
          <w:rFonts w:ascii="Century Gothic" w:hAnsi="Century Gothic" w:cs="Calibri"/>
          <w:sz w:val="20"/>
          <w:szCs w:val="20"/>
        </w:rPr>
        <w:t>Création d’emplois non permanents afin de faire face à des besoins liés à des accroissements temporaires d’activité (article 3-1° de la loi du 26 janvier 1984)</w:t>
      </w:r>
    </w:p>
    <w:p w14:paraId="3802062F" w14:textId="77777777" w:rsidR="009F2CAD" w:rsidRDefault="009F2CAD" w:rsidP="009F2CAD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 w:rsidRPr="00F6205E">
        <w:rPr>
          <w:rFonts w:ascii="Century Gothic" w:hAnsi="Century Gothic" w:cs="Calibri"/>
          <w:sz w:val="20"/>
          <w:szCs w:val="20"/>
        </w:rPr>
        <w:t>Modification du tableau du personnel</w:t>
      </w:r>
    </w:p>
    <w:p w14:paraId="554D9CFC" w14:textId="696E8AF8" w:rsidR="009F2CAD" w:rsidRDefault="009F2CAD" w:rsidP="009F2CAD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 w:rsidRPr="009F2CAD">
        <w:rPr>
          <w:rFonts w:ascii="Century Gothic" w:hAnsi="Century Gothic" w:cs="Calibri"/>
          <w:sz w:val="20"/>
          <w:szCs w:val="20"/>
        </w:rPr>
        <w:t>Conditions et modalités de prise en charge des frais de déplacement</w:t>
      </w:r>
    </w:p>
    <w:p w14:paraId="50D63A76" w14:textId="3982FD7A" w:rsidR="00D929C4" w:rsidRPr="009F2CAD" w:rsidRDefault="00D929C4" w:rsidP="009F2CAD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Définition du régime d’’attribution des frais de représentation du Maire</w:t>
      </w:r>
    </w:p>
    <w:p w14:paraId="47BC56EE" w14:textId="4E4B08AD" w:rsidR="00795475" w:rsidRDefault="00795475" w:rsidP="00833197">
      <w:pPr>
        <w:spacing w:before="240" w:after="0" w:line="240" w:lineRule="auto"/>
        <w:ind w:right="1559"/>
        <w:jc w:val="both"/>
        <w:rPr>
          <w:rFonts w:ascii="Times New Roman" w:eastAsia="Times New Roman" w:hAnsi="Times New Roman" w:cstheme="minorHAnsi"/>
          <w:b/>
          <w:bCs/>
          <w:color w:val="2F5496" w:themeColor="accent1" w:themeShade="BF"/>
          <w:sz w:val="20"/>
          <w:szCs w:val="20"/>
          <w:u w:val="single"/>
          <w:lang w:eastAsia="fr-FR"/>
        </w:rPr>
      </w:pPr>
      <w:r>
        <w:rPr>
          <w:rFonts w:ascii="Times New Roman" w:eastAsia="Times New Roman" w:hAnsi="Times New Roman" w:cstheme="minorHAnsi"/>
          <w:b/>
          <w:bCs/>
          <w:color w:val="2F5496" w:themeColor="accent1" w:themeShade="BF"/>
          <w:sz w:val="20"/>
          <w:szCs w:val="20"/>
          <w:u w:val="single"/>
          <w:lang w:eastAsia="fr-FR"/>
        </w:rPr>
        <w:t>INTERCOMMUNALITE</w:t>
      </w:r>
    </w:p>
    <w:p w14:paraId="3928D02B" w14:textId="55F57229" w:rsidR="00AE39C8" w:rsidRDefault="00AE39C8" w:rsidP="00795475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 w:rsidRPr="00EB7FF8">
        <w:rPr>
          <w:rFonts w:ascii="Century Gothic" w:hAnsi="Century Gothic" w:cs="Calibri"/>
          <w:sz w:val="20"/>
          <w:szCs w:val="20"/>
        </w:rPr>
        <w:t>Rapport annuel 2021 sur le prix et la qualité du service public d’assainissement</w:t>
      </w:r>
    </w:p>
    <w:p w14:paraId="594CC3B5" w14:textId="0BA0F6CD" w:rsidR="00795475" w:rsidRPr="00EB7FF8" w:rsidRDefault="00795475" w:rsidP="00795475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 w:rsidRPr="00EB7FF8">
        <w:rPr>
          <w:rFonts w:ascii="Century Gothic" w:hAnsi="Century Gothic" w:cs="Calibri"/>
          <w:sz w:val="20"/>
          <w:szCs w:val="20"/>
        </w:rPr>
        <w:t xml:space="preserve">Désaffectation du bâtiment de la bibliothèque de Langon </w:t>
      </w:r>
    </w:p>
    <w:p w14:paraId="13A23CF0" w14:textId="6D89E64A" w:rsidR="0024042C" w:rsidRPr="00EB7FF8" w:rsidRDefault="00AE39C8" w:rsidP="00795475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 w:rsidRPr="00EB7FF8">
        <w:rPr>
          <w:rFonts w:ascii="Century Gothic" w:hAnsi="Century Gothic" w:cs="Calibri"/>
          <w:sz w:val="20"/>
          <w:szCs w:val="20"/>
        </w:rPr>
        <w:t xml:space="preserve">Adhésion au </w:t>
      </w:r>
      <w:r w:rsidR="0024042C" w:rsidRPr="00EB7FF8">
        <w:rPr>
          <w:rFonts w:ascii="Century Gothic" w:hAnsi="Century Gothic" w:cs="Calibri"/>
          <w:sz w:val="20"/>
          <w:szCs w:val="20"/>
        </w:rPr>
        <w:t xml:space="preserve">Groupement de commandes </w:t>
      </w:r>
      <w:r w:rsidRPr="00EB7FF8">
        <w:rPr>
          <w:rFonts w:ascii="Century Gothic" w:hAnsi="Century Gothic" w:cs="Calibri"/>
          <w:sz w:val="20"/>
          <w:szCs w:val="20"/>
        </w:rPr>
        <w:t>porté par la communauté de communes du Sud Gironde</w:t>
      </w:r>
    </w:p>
    <w:p w14:paraId="76D8A8C6" w14:textId="4B25C135" w:rsidR="00726F68" w:rsidRDefault="00726F68" w:rsidP="00833197">
      <w:pPr>
        <w:spacing w:before="240" w:after="0" w:line="240" w:lineRule="auto"/>
        <w:ind w:right="1559"/>
        <w:jc w:val="both"/>
        <w:rPr>
          <w:rFonts w:ascii="Times New Roman" w:eastAsia="Times New Roman" w:hAnsi="Times New Roman" w:cstheme="minorHAnsi"/>
          <w:b/>
          <w:bCs/>
          <w:color w:val="2F5496" w:themeColor="accent1" w:themeShade="BF"/>
          <w:sz w:val="20"/>
          <w:szCs w:val="20"/>
          <w:u w:val="single"/>
          <w:lang w:eastAsia="fr-FR"/>
        </w:rPr>
      </w:pPr>
      <w:r w:rsidRPr="00020C84">
        <w:rPr>
          <w:rFonts w:ascii="Times New Roman" w:eastAsia="Times New Roman" w:hAnsi="Times New Roman" w:cstheme="minorHAnsi"/>
          <w:b/>
          <w:bCs/>
          <w:color w:val="2F5496" w:themeColor="accent1" w:themeShade="BF"/>
          <w:sz w:val="20"/>
          <w:szCs w:val="20"/>
          <w:u w:val="single"/>
          <w:lang w:eastAsia="fr-FR"/>
        </w:rPr>
        <w:t>PROJET DE VILLE URBANISME HABITAT</w:t>
      </w:r>
    </w:p>
    <w:p w14:paraId="0271EB52" w14:textId="47DBED67" w:rsidR="005203C1" w:rsidRPr="00EB7FF8" w:rsidRDefault="005203C1" w:rsidP="005203C1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 w:rsidRPr="00EB7FF8">
        <w:rPr>
          <w:rFonts w:ascii="Century Gothic" w:hAnsi="Century Gothic" w:cs="Calibri"/>
          <w:sz w:val="20"/>
          <w:szCs w:val="20"/>
        </w:rPr>
        <w:t xml:space="preserve">Acquisition Florida </w:t>
      </w:r>
    </w:p>
    <w:p w14:paraId="5B2F645B" w14:textId="007372CC" w:rsidR="005830AF" w:rsidRPr="00861EAF" w:rsidRDefault="00861EAF" w:rsidP="00861EAF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 w:rsidRPr="00861EAF">
        <w:rPr>
          <w:rFonts w:ascii="Century Gothic" w:hAnsi="Century Gothic" w:cs="Calibri"/>
          <w:sz w:val="20"/>
          <w:szCs w:val="20"/>
        </w:rPr>
        <w:t xml:space="preserve">Acquisition d’une parcelle de terrain nécessaire </w:t>
      </w:r>
      <w:r>
        <w:rPr>
          <w:rFonts w:ascii="Century Gothic" w:hAnsi="Century Gothic" w:cs="Calibri"/>
          <w:sz w:val="20"/>
          <w:szCs w:val="20"/>
        </w:rPr>
        <w:t>à</w:t>
      </w:r>
      <w:r w:rsidRPr="00861EAF">
        <w:rPr>
          <w:rFonts w:ascii="Century Gothic" w:hAnsi="Century Gothic" w:cs="Calibri"/>
          <w:sz w:val="20"/>
          <w:szCs w:val="20"/>
        </w:rPr>
        <w:t xml:space="preserve"> des travaux </w:t>
      </w:r>
      <w:r>
        <w:rPr>
          <w:rFonts w:ascii="Century Gothic" w:hAnsi="Century Gothic" w:cs="Calibri"/>
          <w:sz w:val="20"/>
          <w:szCs w:val="20"/>
        </w:rPr>
        <w:t>C</w:t>
      </w:r>
      <w:r w:rsidRPr="00861EAF">
        <w:rPr>
          <w:rFonts w:ascii="Century Gothic" w:hAnsi="Century Gothic" w:cs="Calibri"/>
          <w:sz w:val="20"/>
          <w:szCs w:val="20"/>
        </w:rPr>
        <w:t xml:space="preserve">ours Gambetta – parcelle </w:t>
      </w:r>
      <w:r>
        <w:rPr>
          <w:rFonts w:ascii="Century Gothic" w:hAnsi="Century Gothic" w:cs="Calibri"/>
          <w:sz w:val="20"/>
          <w:szCs w:val="20"/>
        </w:rPr>
        <w:t>AO</w:t>
      </w:r>
      <w:r w:rsidRPr="00861EAF">
        <w:rPr>
          <w:rFonts w:ascii="Century Gothic" w:hAnsi="Century Gothic" w:cs="Calibri"/>
          <w:sz w:val="20"/>
          <w:szCs w:val="20"/>
        </w:rPr>
        <w:t xml:space="preserve"> 779</w:t>
      </w:r>
    </w:p>
    <w:p w14:paraId="48CD751D" w14:textId="64CDD5B9" w:rsidR="005830AF" w:rsidRDefault="005830AF" w:rsidP="005203C1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 w:rsidRPr="00EB7FF8">
        <w:rPr>
          <w:rFonts w:ascii="Century Gothic" w:hAnsi="Century Gothic" w:cs="Calibri"/>
          <w:sz w:val="20"/>
          <w:szCs w:val="20"/>
        </w:rPr>
        <w:t xml:space="preserve">Tableau de classement de la voirie communale </w:t>
      </w:r>
    </w:p>
    <w:p w14:paraId="23A3D1C7" w14:textId="62E74EA7" w:rsidR="00726F68" w:rsidRDefault="00726F68" w:rsidP="00833197">
      <w:pPr>
        <w:spacing w:before="240" w:after="0" w:line="240" w:lineRule="auto"/>
        <w:ind w:right="1559"/>
        <w:jc w:val="both"/>
        <w:rPr>
          <w:rFonts w:ascii="Times New Roman" w:eastAsia="Times New Roman" w:hAnsi="Times New Roman" w:cstheme="minorHAnsi"/>
          <w:b/>
          <w:bCs/>
          <w:color w:val="2F5496" w:themeColor="accent1" w:themeShade="BF"/>
          <w:sz w:val="20"/>
          <w:szCs w:val="20"/>
          <w:u w:val="single"/>
          <w:lang w:eastAsia="fr-FR"/>
        </w:rPr>
      </w:pPr>
      <w:r w:rsidRPr="00092D96">
        <w:rPr>
          <w:rFonts w:ascii="Times New Roman" w:eastAsia="Times New Roman" w:hAnsi="Times New Roman" w:cstheme="minorHAnsi"/>
          <w:b/>
          <w:bCs/>
          <w:color w:val="2F5496" w:themeColor="accent1" w:themeShade="BF"/>
          <w:sz w:val="20"/>
          <w:szCs w:val="20"/>
          <w:u w:val="single"/>
          <w:lang w:eastAsia="fr-FR"/>
        </w:rPr>
        <w:t>AFFAIRES SCOLAIRES/ JEUNESSE</w:t>
      </w:r>
    </w:p>
    <w:p w14:paraId="2C6ADF09" w14:textId="743CD841" w:rsidR="004464D3" w:rsidRPr="004464D3" w:rsidRDefault="004464D3" w:rsidP="004464D3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bCs/>
          <w:iCs/>
          <w:sz w:val="20"/>
          <w:szCs w:val="20"/>
        </w:rPr>
      </w:pPr>
      <w:r>
        <w:rPr>
          <w:rFonts w:ascii="Century Gothic" w:hAnsi="Century Gothic" w:cs="Calibri"/>
          <w:bCs/>
          <w:sz w:val="20"/>
          <w:szCs w:val="20"/>
        </w:rPr>
        <w:t xml:space="preserve">Convention </w:t>
      </w:r>
      <w:r w:rsidRPr="004464D3">
        <w:rPr>
          <w:rFonts w:ascii="Century Gothic" w:hAnsi="Century Gothic" w:cs="Calibri"/>
          <w:bCs/>
          <w:sz w:val="20"/>
          <w:szCs w:val="20"/>
        </w:rPr>
        <w:t>Territoriale Globale (CTG)</w:t>
      </w:r>
      <w:r>
        <w:rPr>
          <w:rFonts w:ascii="Century Gothic" w:hAnsi="Century Gothic" w:cs="Calibri"/>
          <w:bCs/>
          <w:sz w:val="20"/>
          <w:szCs w:val="20"/>
        </w:rPr>
        <w:t> </w:t>
      </w:r>
      <w:r w:rsidR="00D929C4">
        <w:rPr>
          <w:rFonts w:ascii="Century Gothic" w:hAnsi="Century Gothic" w:cs="Calibri"/>
          <w:bCs/>
          <w:sz w:val="20"/>
          <w:szCs w:val="20"/>
        </w:rPr>
        <w:t xml:space="preserve">avec la CAF </w:t>
      </w:r>
      <w:r>
        <w:rPr>
          <w:rFonts w:ascii="Century Gothic" w:hAnsi="Century Gothic" w:cs="Calibri"/>
          <w:bCs/>
          <w:sz w:val="20"/>
          <w:szCs w:val="20"/>
        </w:rPr>
        <w:t>: autorisation de signature</w:t>
      </w:r>
    </w:p>
    <w:p w14:paraId="756679CD" w14:textId="40F2873D" w:rsidR="00AE39C8" w:rsidRPr="00EB7FF8" w:rsidRDefault="00AE39C8" w:rsidP="00AE39C8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 w:rsidRPr="00EB7FF8">
        <w:rPr>
          <w:rFonts w:ascii="Century Gothic" w:hAnsi="Century Gothic" w:cs="Calibri"/>
          <w:sz w:val="20"/>
          <w:szCs w:val="20"/>
        </w:rPr>
        <w:lastRenderedPageBreak/>
        <w:t>Convention de participation aux charges de fonctionnement des écoles publiques de Bazas pour les enfants scolarisés en classe ULIS</w:t>
      </w:r>
      <w:r w:rsidR="004464D3">
        <w:rPr>
          <w:rFonts w:ascii="Century Gothic" w:hAnsi="Century Gothic" w:cs="Calibri"/>
          <w:sz w:val="20"/>
          <w:szCs w:val="20"/>
        </w:rPr>
        <w:t> : autorisation de signature</w:t>
      </w:r>
    </w:p>
    <w:p w14:paraId="18805D60" w14:textId="35EDBCAA" w:rsidR="00AE39C8" w:rsidRPr="00EB7FF8" w:rsidRDefault="00EB7FF8" w:rsidP="00AE39C8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 w:rsidRPr="00EB7FF8">
        <w:rPr>
          <w:rFonts w:ascii="Century Gothic" w:hAnsi="Century Gothic" w:cs="Calibri"/>
          <w:sz w:val="20"/>
          <w:szCs w:val="20"/>
        </w:rPr>
        <w:t>Acceptation d’un don pour l’achat d’un défibrillateur</w:t>
      </w:r>
    </w:p>
    <w:p w14:paraId="5F088A4A" w14:textId="70465B86" w:rsidR="00020C84" w:rsidRPr="00020C84" w:rsidRDefault="00020C84" w:rsidP="00833197">
      <w:pPr>
        <w:spacing w:before="240" w:after="0" w:line="240" w:lineRule="auto"/>
        <w:ind w:right="1559"/>
        <w:jc w:val="both"/>
        <w:rPr>
          <w:rFonts w:ascii="Times New Roman" w:eastAsia="Times New Roman" w:hAnsi="Times New Roman" w:cstheme="minorHAnsi"/>
          <w:b/>
          <w:bCs/>
          <w:color w:val="2F5496" w:themeColor="accent1" w:themeShade="BF"/>
          <w:sz w:val="20"/>
          <w:szCs w:val="20"/>
          <w:u w:val="single"/>
          <w:lang w:eastAsia="fr-FR"/>
        </w:rPr>
      </w:pPr>
      <w:r w:rsidRPr="00020C84">
        <w:rPr>
          <w:rFonts w:ascii="Times New Roman" w:eastAsia="Times New Roman" w:hAnsi="Times New Roman" w:cstheme="minorHAnsi"/>
          <w:b/>
          <w:bCs/>
          <w:color w:val="2F5496" w:themeColor="accent1" w:themeShade="BF"/>
          <w:sz w:val="20"/>
          <w:szCs w:val="20"/>
          <w:u w:val="single"/>
          <w:lang w:eastAsia="fr-FR"/>
        </w:rPr>
        <w:t>CULTURE</w:t>
      </w:r>
    </w:p>
    <w:p w14:paraId="56A17395" w14:textId="4BCE41F7" w:rsidR="004464D3" w:rsidRPr="004464D3" w:rsidRDefault="004464D3" w:rsidP="004464D3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R</w:t>
      </w:r>
      <w:r w:rsidRPr="004464D3">
        <w:rPr>
          <w:rFonts w:ascii="Century Gothic" w:hAnsi="Century Gothic" w:cs="Calibri"/>
          <w:sz w:val="20"/>
          <w:szCs w:val="20"/>
        </w:rPr>
        <w:t>éactualisation du Règlement de location de la salle de spectacle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4464D3">
        <w:rPr>
          <w:rFonts w:ascii="Century Gothic" w:hAnsi="Century Gothic" w:cs="Calibri"/>
          <w:sz w:val="20"/>
          <w:szCs w:val="20"/>
        </w:rPr>
        <w:t>du centre culturel des Carmes</w:t>
      </w:r>
    </w:p>
    <w:p w14:paraId="6842AB78" w14:textId="2821147E" w:rsidR="00795475" w:rsidRPr="00EB7FF8" w:rsidRDefault="00795475" w:rsidP="00833197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 w:rsidRPr="00EB7FF8">
        <w:rPr>
          <w:rFonts w:ascii="Century Gothic" w:hAnsi="Century Gothic" w:cs="Calibri"/>
          <w:sz w:val="20"/>
          <w:szCs w:val="20"/>
        </w:rPr>
        <w:t xml:space="preserve">Autorisation de Signature : convention de partenariat avec la ville de Portets dans le cadre de la saison culturelle de la ville de Langon </w:t>
      </w:r>
    </w:p>
    <w:p w14:paraId="3C19C89F" w14:textId="14FC5640" w:rsidR="00EB7FF8" w:rsidRDefault="00EB7FF8" w:rsidP="00EB7FF8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 w:rsidRPr="00EB7FF8">
        <w:rPr>
          <w:rFonts w:ascii="Century Gothic" w:hAnsi="Century Gothic" w:cs="Calibri"/>
          <w:sz w:val="20"/>
          <w:szCs w:val="20"/>
        </w:rPr>
        <w:t xml:space="preserve">Autorisation de signature : Convention de partenariat dans le cadre du parcours EAC vivre le théâtre jeunesse entre la ligue de l’enseignement de la gironde et la ville de </w:t>
      </w:r>
      <w:r w:rsidR="009A61CE">
        <w:rPr>
          <w:rFonts w:ascii="Century Gothic" w:hAnsi="Century Gothic" w:cs="Calibri"/>
          <w:sz w:val="20"/>
          <w:szCs w:val="20"/>
        </w:rPr>
        <w:t>L</w:t>
      </w:r>
      <w:r w:rsidRPr="00EB7FF8">
        <w:rPr>
          <w:rFonts w:ascii="Century Gothic" w:hAnsi="Century Gothic" w:cs="Calibri"/>
          <w:sz w:val="20"/>
          <w:szCs w:val="20"/>
        </w:rPr>
        <w:t>angon</w:t>
      </w:r>
    </w:p>
    <w:p w14:paraId="2F858428" w14:textId="63519278" w:rsidR="009A61CE" w:rsidRPr="00EB7FF8" w:rsidRDefault="003165E6" w:rsidP="00EB7FF8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Autorisation de signature : </w:t>
      </w:r>
      <w:r w:rsidR="009A61CE" w:rsidRPr="009A61CE">
        <w:rPr>
          <w:rFonts w:ascii="Century Gothic" w:hAnsi="Century Gothic" w:cs="Calibri"/>
          <w:sz w:val="20"/>
          <w:szCs w:val="20"/>
        </w:rPr>
        <w:t>convention de partenariat avec l’IDDAC, la compagnie Okto et la ville de Langon dans le cadre de la saison culturelle de la ville de Langon</w:t>
      </w:r>
    </w:p>
    <w:p w14:paraId="53B0A7EE" w14:textId="67E36DAE" w:rsidR="00795475" w:rsidRPr="00EB7FF8" w:rsidRDefault="00795475" w:rsidP="00833197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 w:rsidRPr="00EB7FF8">
        <w:rPr>
          <w:rFonts w:ascii="Century Gothic" w:hAnsi="Century Gothic" w:cs="Calibri"/>
          <w:sz w:val="20"/>
          <w:szCs w:val="20"/>
        </w:rPr>
        <w:t>Demande de Subvention à la Direction Régionale de la Culture dans le cadre de la politique culturelle de la ville</w:t>
      </w:r>
    </w:p>
    <w:p w14:paraId="1AF3A42C" w14:textId="71DC6D9B" w:rsidR="00EB7FF8" w:rsidRPr="00EB7FF8" w:rsidRDefault="00EB7FF8" w:rsidP="00833197">
      <w:pPr>
        <w:numPr>
          <w:ilvl w:val="0"/>
          <w:numId w:val="2"/>
        </w:numPr>
        <w:spacing w:before="120" w:after="0" w:line="240" w:lineRule="auto"/>
        <w:ind w:left="709" w:right="1559" w:hanging="709"/>
        <w:jc w:val="both"/>
        <w:rPr>
          <w:rFonts w:ascii="Century Gothic" w:hAnsi="Century Gothic" w:cs="Calibri"/>
          <w:sz w:val="20"/>
          <w:szCs w:val="20"/>
        </w:rPr>
      </w:pPr>
      <w:r w:rsidRPr="00EB7FF8">
        <w:rPr>
          <w:rFonts w:ascii="Century Gothic" w:hAnsi="Century Gothic" w:cs="Calibri"/>
          <w:sz w:val="20"/>
          <w:szCs w:val="20"/>
        </w:rPr>
        <w:t>Demande de Subvention au Conseil Départemental de Gironde dans le cadre de la politique culturelle de la ville</w:t>
      </w:r>
    </w:p>
    <w:p w14:paraId="6E9A78D1" w14:textId="16DD6064" w:rsidR="002A5914" w:rsidRPr="00795475" w:rsidRDefault="002A5914" w:rsidP="00795475">
      <w:pPr>
        <w:spacing w:before="240" w:after="120" w:line="240" w:lineRule="auto"/>
        <w:ind w:right="1559"/>
        <w:jc w:val="both"/>
        <w:rPr>
          <w:rFonts w:ascii="Times New Roman" w:eastAsia="Times New Roman" w:hAnsi="Times New Roman" w:cstheme="minorHAnsi"/>
          <w:b/>
          <w:bCs/>
          <w:color w:val="2F5496" w:themeColor="accent1" w:themeShade="BF"/>
          <w:sz w:val="20"/>
          <w:szCs w:val="20"/>
          <w:u w:val="single"/>
          <w:lang w:eastAsia="fr-FR"/>
        </w:rPr>
      </w:pPr>
      <w:r w:rsidRPr="00795475">
        <w:rPr>
          <w:rFonts w:ascii="Times New Roman" w:eastAsia="Times New Roman" w:hAnsi="Times New Roman" w:cstheme="minorHAnsi"/>
          <w:b/>
          <w:bCs/>
          <w:color w:val="2F5496" w:themeColor="accent1" w:themeShade="BF"/>
          <w:sz w:val="20"/>
          <w:szCs w:val="20"/>
          <w:u w:val="single"/>
          <w:lang w:eastAsia="fr-FR"/>
        </w:rPr>
        <w:t xml:space="preserve">QUESTIONS ECRITES </w:t>
      </w:r>
    </w:p>
    <w:p w14:paraId="6F516D49" w14:textId="77777777" w:rsidR="00795475" w:rsidRDefault="00795475" w:rsidP="00795475">
      <w:pPr>
        <w:spacing w:before="120"/>
        <w:ind w:right="1559"/>
        <w:jc w:val="both"/>
        <w:rPr>
          <w:rFonts w:ascii="Times New Roman" w:eastAsia="Times New Roman" w:hAnsi="Times New Roman" w:cstheme="minorHAnsi"/>
          <w:b/>
          <w:bCs/>
          <w:color w:val="2F5496" w:themeColor="accent1" w:themeShade="BF"/>
          <w:sz w:val="20"/>
          <w:szCs w:val="20"/>
          <w:u w:val="single"/>
          <w:lang w:eastAsia="fr-FR"/>
        </w:rPr>
      </w:pPr>
    </w:p>
    <w:p w14:paraId="3B59589F" w14:textId="6FB0DE6A" w:rsidR="00726F68" w:rsidRPr="00795475" w:rsidRDefault="00726F68" w:rsidP="00795475">
      <w:pPr>
        <w:spacing w:before="120"/>
        <w:ind w:right="1559"/>
        <w:jc w:val="both"/>
        <w:rPr>
          <w:rFonts w:ascii="Times New Roman" w:eastAsia="Times New Roman" w:hAnsi="Times New Roman" w:cstheme="minorHAnsi"/>
          <w:b/>
          <w:bCs/>
          <w:color w:val="2F5496" w:themeColor="accent1" w:themeShade="BF"/>
          <w:sz w:val="20"/>
          <w:szCs w:val="20"/>
          <w:u w:val="single"/>
          <w:lang w:eastAsia="fr-FR"/>
        </w:rPr>
      </w:pPr>
      <w:r w:rsidRPr="00795475">
        <w:rPr>
          <w:rFonts w:ascii="Times New Roman" w:eastAsia="Times New Roman" w:hAnsi="Times New Roman" w:cstheme="minorHAnsi"/>
          <w:b/>
          <w:bCs/>
          <w:color w:val="2F5496" w:themeColor="accent1" w:themeShade="BF"/>
          <w:sz w:val="20"/>
          <w:szCs w:val="20"/>
          <w:u w:val="single"/>
          <w:lang w:eastAsia="fr-FR"/>
        </w:rPr>
        <w:t>COMMUNICATIONS</w:t>
      </w:r>
      <w:r w:rsidR="007B2999" w:rsidRPr="00795475">
        <w:rPr>
          <w:rFonts w:ascii="Times New Roman" w:eastAsia="Times New Roman" w:hAnsi="Times New Roman" w:cstheme="minorHAnsi"/>
          <w:b/>
          <w:bCs/>
          <w:color w:val="2F5496" w:themeColor="accent1" w:themeShade="BF"/>
          <w:sz w:val="20"/>
          <w:szCs w:val="20"/>
          <w:u w:val="single"/>
          <w:lang w:eastAsia="fr-FR"/>
        </w:rPr>
        <w:t xml:space="preserve"> : </w:t>
      </w:r>
    </w:p>
    <w:p w14:paraId="5ED2D7F7" w14:textId="77777777" w:rsidR="00D94896" w:rsidRPr="00D922EA" w:rsidRDefault="00D94896" w:rsidP="00D94896">
      <w:pPr>
        <w:pStyle w:val="Paragraphedeliste"/>
        <w:spacing w:before="120"/>
        <w:ind w:left="1440" w:right="1559"/>
        <w:jc w:val="both"/>
        <w:rPr>
          <w:rFonts w:ascii="Century Gothic" w:hAnsi="Century Gothic" w:cs="Calibri"/>
          <w:sz w:val="20"/>
          <w:szCs w:val="20"/>
        </w:rPr>
      </w:pPr>
      <w:bookmarkStart w:id="2" w:name="_Hlk121228888"/>
    </w:p>
    <w:p w14:paraId="1F397B09" w14:textId="77777777" w:rsidR="00D922EA" w:rsidRPr="007B2999" w:rsidRDefault="00D922EA" w:rsidP="00D922EA">
      <w:pPr>
        <w:pStyle w:val="Paragraphedeliste"/>
        <w:spacing w:before="120"/>
        <w:ind w:left="1440" w:right="1559"/>
        <w:jc w:val="both"/>
        <w:rPr>
          <w:rFonts w:ascii="Century Gothic" w:hAnsi="Century Gothic" w:cs="Calibri"/>
          <w:sz w:val="20"/>
          <w:szCs w:val="20"/>
        </w:rPr>
      </w:pPr>
    </w:p>
    <w:bookmarkEnd w:id="0"/>
    <w:bookmarkEnd w:id="1"/>
    <w:bookmarkEnd w:id="2"/>
    <w:p w14:paraId="07BD9E37" w14:textId="77777777" w:rsidR="00833197" w:rsidRDefault="00833197" w:rsidP="00833197"/>
    <w:p w14:paraId="7CDEA73E" w14:textId="77777777" w:rsidR="00726F68" w:rsidRPr="00932BF2" w:rsidRDefault="00726F68" w:rsidP="00833197">
      <w:pPr>
        <w:spacing w:before="240" w:after="120"/>
        <w:ind w:right="1559"/>
        <w:jc w:val="both"/>
        <w:rPr>
          <w:rFonts w:ascii="Century Gothic" w:hAnsi="Century Gothic" w:cstheme="minorHAnsi"/>
          <w:sz w:val="20"/>
          <w:szCs w:val="20"/>
        </w:rPr>
      </w:pPr>
    </w:p>
    <w:sectPr w:rsidR="00726F68" w:rsidRPr="0093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816"/>
    <w:multiLevelType w:val="hybridMultilevel"/>
    <w:tmpl w:val="C728CF66"/>
    <w:lvl w:ilvl="0" w:tplc="40BCCC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48AE"/>
    <w:multiLevelType w:val="hybridMultilevel"/>
    <w:tmpl w:val="4CAA8F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97AC1"/>
    <w:multiLevelType w:val="hybridMultilevel"/>
    <w:tmpl w:val="3B6A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6D8"/>
    <w:multiLevelType w:val="hybridMultilevel"/>
    <w:tmpl w:val="4198B474"/>
    <w:lvl w:ilvl="0" w:tplc="ED2431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67742"/>
    <w:multiLevelType w:val="hybridMultilevel"/>
    <w:tmpl w:val="1A161C9A"/>
    <w:lvl w:ilvl="0" w:tplc="D26E5B62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BB171DC"/>
    <w:multiLevelType w:val="hybridMultilevel"/>
    <w:tmpl w:val="79AA02B4"/>
    <w:lvl w:ilvl="0" w:tplc="15A00E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369720">
    <w:abstractNumId w:val="2"/>
  </w:num>
  <w:num w:numId="2" w16cid:durableId="631787599">
    <w:abstractNumId w:val="1"/>
  </w:num>
  <w:num w:numId="3" w16cid:durableId="945232370">
    <w:abstractNumId w:val="5"/>
  </w:num>
  <w:num w:numId="4" w16cid:durableId="1570573866">
    <w:abstractNumId w:val="0"/>
  </w:num>
  <w:num w:numId="5" w16cid:durableId="1468161293">
    <w:abstractNumId w:val="4"/>
  </w:num>
  <w:num w:numId="6" w16cid:durableId="1646541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68"/>
    <w:rsid w:val="00020C84"/>
    <w:rsid w:val="000264C5"/>
    <w:rsid w:val="00043BCE"/>
    <w:rsid w:val="00092D96"/>
    <w:rsid w:val="00131725"/>
    <w:rsid w:val="001C4800"/>
    <w:rsid w:val="001E3947"/>
    <w:rsid w:val="00223F4D"/>
    <w:rsid w:val="0024042C"/>
    <w:rsid w:val="002A5914"/>
    <w:rsid w:val="003165E6"/>
    <w:rsid w:val="003700E3"/>
    <w:rsid w:val="00391ED0"/>
    <w:rsid w:val="003A4864"/>
    <w:rsid w:val="003F7D1A"/>
    <w:rsid w:val="00403656"/>
    <w:rsid w:val="004464D3"/>
    <w:rsid w:val="005203C1"/>
    <w:rsid w:val="00531125"/>
    <w:rsid w:val="00533E86"/>
    <w:rsid w:val="005450FC"/>
    <w:rsid w:val="00557939"/>
    <w:rsid w:val="005830AF"/>
    <w:rsid w:val="00584F5C"/>
    <w:rsid w:val="00636575"/>
    <w:rsid w:val="006C54DD"/>
    <w:rsid w:val="006C7332"/>
    <w:rsid w:val="006F0FD7"/>
    <w:rsid w:val="00726F68"/>
    <w:rsid w:val="007537B4"/>
    <w:rsid w:val="00795475"/>
    <w:rsid w:val="007B2999"/>
    <w:rsid w:val="007E421E"/>
    <w:rsid w:val="00833197"/>
    <w:rsid w:val="00861EAF"/>
    <w:rsid w:val="008D55C1"/>
    <w:rsid w:val="00925A03"/>
    <w:rsid w:val="00932BF2"/>
    <w:rsid w:val="00940C30"/>
    <w:rsid w:val="009430BE"/>
    <w:rsid w:val="00987DC9"/>
    <w:rsid w:val="009A61CE"/>
    <w:rsid w:val="009E6D58"/>
    <w:rsid w:val="009F2CAD"/>
    <w:rsid w:val="00A43A87"/>
    <w:rsid w:val="00A74C49"/>
    <w:rsid w:val="00A8027B"/>
    <w:rsid w:val="00AE14FE"/>
    <w:rsid w:val="00AE39C8"/>
    <w:rsid w:val="00B318A8"/>
    <w:rsid w:val="00B53DC8"/>
    <w:rsid w:val="00B5469C"/>
    <w:rsid w:val="00BF612A"/>
    <w:rsid w:val="00C02C11"/>
    <w:rsid w:val="00C038F7"/>
    <w:rsid w:val="00C70F2B"/>
    <w:rsid w:val="00CA182C"/>
    <w:rsid w:val="00D7190A"/>
    <w:rsid w:val="00D82DB6"/>
    <w:rsid w:val="00D922EA"/>
    <w:rsid w:val="00D929C4"/>
    <w:rsid w:val="00D94896"/>
    <w:rsid w:val="00DB570B"/>
    <w:rsid w:val="00DF2FD0"/>
    <w:rsid w:val="00E16D23"/>
    <w:rsid w:val="00E84184"/>
    <w:rsid w:val="00EB7FF8"/>
    <w:rsid w:val="00EC4AD3"/>
    <w:rsid w:val="00EC500B"/>
    <w:rsid w:val="00F6205E"/>
    <w:rsid w:val="00F70457"/>
    <w:rsid w:val="00FA7EE7"/>
    <w:rsid w:val="00F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695D"/>
  <w15:chartTrackingRefBased/>
  <w15:docId w15:val="{0D042625-B3BE-41AE-82FE-8A26FBDC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F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de liste 2,Paragraphe de liste1,Sémaphores Puces"/>
    <w:basedOn w:val="Normal"/>
    <w:link w:val="ParagraphedelisteCar"/>
    <w:uiPriority w:val="34"/>
    <w:qFormat/>
    <w:rsid w:val="00726F68"/>
    <w:pPr>
      <w:spacing w:after="0" w:line="240" w:lineRule="auto"/>
      <w:ind w:left="720"/>
      <w:contextualSpacing/>
    </w:pPr>
  </w:style>
  <w:style w:type="character" w:customStyle="1" w:styleId="ParagraphedelisteCar">
    <w:name w:val="Paragraphe de liste Car"/>
    <w:aliases w:val="Paragraphe de liste 2 Car,Paragraphe de liste1 Car,Sémaphores Puces Car"/>
    <w:basedOn w:val="Policepardfaut"/>
    <w:link w:val="Paragraphedeliste"/>
    <w:uiPriority w:val="34"/>
    <w:rsid w:val="0072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DUPORT, Eve</dc:creator>
  <cp:keywords/>
  <dc:description/>
  <cp:lastModifiedBy>Emmanuel De Lestrade</cp:lastModifiedBy>
  <cp:revision>5</cp:revision>
  <cp:lastPrinted>2022-12-12T19:05:00Z</cp:lastPrinted>
  <dcterms:created xsi:type="dcterms:W3CDTF">2022-12-12T19:05:00Z</dcterms:created>
  <dcterms:modified xsi:type="dcterms:W3CDTF">2022-12-13T16:04:00Z</dcterms:modified>
</cp:coreProperties>
</file>